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ACA3F" w14:textId="01994911" w:rsidR="000605CD" w:rsidRDefault="00676F0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2F2AED" wp14:editId="446B42C4">
            <wp:simplePos x="0" y="0"/>
            <wp:positionH relativeFrom="column">
              <wp:posOffset>-876300</wp:posOffset>
            </wp:positionH>
            <wp:positionV relativeFrom="paragraph">
              <wp:posOffset>-885825</wp:posOffset>
            </wp:positionV>
            <wp:extent cx="7734300" cy="9991725"/>
            <wp:effectExtent l="0" t="0" r="0" b="0"/>
            <wp:wrapTight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ight>
            <wp:docPr id="1595475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DA037" w14:textId="1B583E8C" w:rsidR="000605CD" w:rsidRDefault="00EE2B34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BF7D098" wp14:editId="1E84DFC1">
            <wp:simplePos x="0" y="0"/>
            <wp:positionH relativeFrom="column">
              <wp:posOffset>-904875</wp:posOffset>
            </wp:positionH>
            <wp:positionV relativeFrom="paragraph">
              <wp:posOffset>-959103</wp:posOffset>
            </wp:positionV>
            <wp:extent cx="7820025" cy="10026903"/>
            <wp:effectExtent l="0" t="0" r="0" b="0"/>
            <wp:wrapTight wrapText="bothSides">
              <wp:wrapPolygon edited="0">
                <wp:start x="0" y="0"/>
                <wp:lineTo x="0" y="21545"/>
                <wp:lineTo x="21521" y="21545"/>
                <wp:lineTo x="21521" y="0"/>
                <wp:lineTo x="0" y="0"/>
              </wp:wrapPolygon>
            </wp:wrapTight>
            <wp:docPr id="412616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014" cy="100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E7FEF" w14:textId="1EB62A20" w:rsidR="00172CCA" w:rsidRDefault="008E05BB" w:rsidP="001A01C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E710F62" wp14:editId="71A5045D">
            <wp:simplePos x="0" y="0"/>
            <wp:positionH relativeFrom="column">
              <wp:posOffset>-914400</wp:posOffset>
            </wp:positionH>
            <wp:positionV relativeFrom="paragraph">
              <wp:posOffset>-895985</wp:posOffset>
            </wp:positionV>
            <wp:extent cx="7772400" cy="10029825"/>
            <wp:effectExtent l="0" t="0" r="0" b="0"/>
            <wp:wrapTight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ight>
            <wp:docPr id="3280580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eading=h.gjdgxs" w:colFirst="0" w:colLast="0"/>
      <w:bookmarkEnd w:id="0"/>
    </w:p>
    <w:p w14:paraId="78D6198C" w14:textId="77777777" w:rsidR="001A01C0" w:rsidRPr="001A01C0" w:rsidRDefault="001A01C0" w:rsidP="001A01C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DEEE6FC" w14:textId="4F6E81CB" w:rsidR="00172CCA" w:rsidRDefault="00172CC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5D763684" w14:textId="1B1643C4" w:rsidR="00676D0A" w:rsidRDefault="00676D0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40327990" w14:textId="77777777" w:rsidR="00676D0A" w:rsidRDefault="00676D0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512058B7" w14:textId="77777777" w:rsidR="00172CCA" w:rsidRDefault="00172CC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01EA6910" w14:textId="77777777" w:rsidR="00854EB0" w:rsidRDefault="00854EB0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15FAE1A1" w14:textId="77777777" w:rsidR="00854EB0" w:rsidRDefault="00854EB0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47190F9E" w14:textId="77777777" w:rsidR="00854EB0" w:rsidRDefault="00854EB0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69DF4867" w14:textId="3C8A11F2" w:rsidR="00854EB0" w:rsidRDefault="00854EB0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17DF3746" w14:textId="69584168" w:rsidR="00676D0A" w:rsidRDefault="00676D0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79D22FD5" w14:textId="77777777" w:rsidR="00676D0A" w:rsidRDefault="00676D0A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60F85865" w14:textId="27790C72" w:rsidR="000605CD" w:rsidRDefault="00A177E3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87245077"/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List of Workshops/Seminars/Conferences including on Research Methodology, Intellectual Property Rights (IPR) and Entrepreneurship Conducted with Supporting Documents</w:t>
      </w:r>
    </w:p>
    <w:p w14:paraId="3263F475" w14:textId="77777777" w:rsidR="000605CD" w:rsidRDefault="000605C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D0989C3" w14:textId="561BCD80" w:rsidR="00172CB7" w:rsidRDefault="00A177E3" w:rsidP="001A01C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ACADEMIC YEAR -202</w:t>
      </w:r>
      <w:r w:rsidR="00C00D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3-24</w:t>
      </w:r>
    </w:p>
    <w:tbl>
      <w:tblPr>
        <w:tblStyle w:val="1"/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0"/>
        <w:gridCol w:w="2801"/>
        <w:gridCol w:w="2477"/>
        <w:gridCol w:w="1802"/>
        <w:gridCol w:w="2046"/>
      </w:tblGrid>
      <w:tr w:rsidR="000605CD" w14:paraId="3852D92E" w14:textId="77777777" w:rsidTr="004C529C">
        <w:trPr>
          <w:trHeight w:val="1152"/>
          <w:jc w:val="center"/>
        </w:trPr>
        <w:tc>
          <w:tcPr>
            <w:tcW w:w="770" w:type="dxa"/>
          </w:tcPr>
          <w:p w14:paraId="51F6F20E" w14:textId="77777777" w:rsidR="000605CD" w:rsidRDefault="000605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B0D25D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2801" w:type="dxa"/>
          </w:tcPr>
          <w:p w14:paraId="5F82F401" w14:textId="77777777" w:rsidR="000605CD" w:rsidRDefault="000605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D7A95F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WORK SHOP/SEMINAR /CONFERENCE</w:t>
            </w:r>
          </w:p>
        </w:tc>
        <w:tc>
          <w:tcPr>
            <w:tcW w:w="2477" w:type="dxa"/>
          </w:tcPr>
          <w:p w14:paraId="158987A4" w14:textId="77777777" w:rsidR="000605CD" w:rsidRDefault="000605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256828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PARTICIPANTS</w:t>
            </w:r>
          </w:p>
        </w:tc>
        <w:tc>
          <w:tcPr>
            <w:tcW w:w="1802" w:type="dxa"/>
          </w:tcPr>
          <w:p w14:paraId="2E19AE9C" w14:textId="77777777" w:rsidR="000605CD" w:rsidRDefault="000605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4C559D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  <w:p w14:paraId="4D7D31B0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FROM-TO</w:t>
            </w:r>
          </w:p>
        </w:tc>
        <w:tc>
          <w:tcPr>
            <w:tcW w:w="2046" w:type="dxa"/>
          </w:tcPr>
          <w:p w14:paraId="56E81BFB" w14:textId="77777777" w:rsidR="000605CD" w:rsidRDefault="000605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864D5E" w14:textId="77777777" w:rsidR="000605CD" w:rsidRDefault="00A1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LINK FOR SUPPORTING DOCUMENTS</w:t>
            </w:r>
          </w:p>
        </w:tc>
      </w:tr>
      <w:tr w:rsidR="00B828F7" w14:paraId="3E8FF85D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5D627ED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1" w:type="dxa"/>
            <w:vAlign w:val="bottom"/>
          </w:tcPr>
          <w:p w14:paraId="26A9FD97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Advancing wellness – entrepreneurship in pharmacognosy (Entrepreneurship)</w:t>
            </w:r>
          </w:p>
        </w:tc>
        <w:tc>
          <w:tcPr>
            <w:tcW w:w="2477" w:type="dxa"/>
            <w:vAlign w:val="center"/>
          </w:tcPr>
          <w:p w14:paraId="627255C2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02" w:type="dxa"/>
            <w:vAlign w:val="bottom"/>
          </w:tcPr>
          <w:p w14:paraId="5750CD64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DAB">
              <w:rPr>
                <w:rFonts w:ascii="Times New Roman" w:hAnsi="Times New Roman" w:cs="Times New Roman"/>
              </w:rPr>
              <w:t>12-04-2024</w:t>
            </w:r>
          </w:p>
        </w:tc>
        <w:tc>
          <w:tcPr>
            <w:tcW w:w="2046" w:type="dxa"/>
            <w:vAlign w:val="center"/>
          </w:tcPr>
          <w:p w14:paraId="51E44DF8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4DA3E1E8" w14:textId="77777777" w:rsidTr="004C529C">
        <w:trPr>
          <w:trHeight w:val="816"/>
          <w:jc w:val="center"/>
        </w:trPr>
        <w:tc>
          <w:tcPr>
            <w:tcW w:w="770" w:type="dxa"/>
            <w:vAlign w:val="center"/>
          </w:tcPr>
          <w:p w14:paraId="3437D663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1" w:type="dxa"/>
            <w:vAlign w:val="bottom"/>
          </w:tcPr>
          <w:p w14:paraId="5D285C32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Research area in pharmacy practice (Research methodology)</w:t>
            </w:r>
          </w:p>
        </w:tc>
        <w:tc>
          <w:tcPr>
            <w:tcW w:w="2477" w:type="dxa"/>
            <w:vAlign w:val="center"/>
          </w:tcPr>
          <w:p w14:paraId="7065C7E6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02" w:type="dxa"/>
            <w:vAlign w:val="bottom"/>
          </w:tcPr>
          <w:p w14:paraId="0BB2A550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DAB">
              <w:rPr>
                <w:rFonts w:ascii="Times New Roman" w:hAnsi="Times New Roman" w:cs="Times New Roman"/>
              </w:rPr>
              <w:t>27-03-2024</w:t>
            </w:r>
          </w:p>
        </w:tc>
        <w:tc>
          <w:tcPr>
            <w:tcW w:w="2046" w:type="dxa"/>
            <w:vAlign w:val="center"/>
          </w:tcPr>
          <w:p w14:paraId="5F7CB11F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00BF9ABD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231E4D7C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1" w:type="dxa"/>
            <w:vAlign w:val="bottom"/>
          </w:tcPr>
          <w:p w14:paraId="5C8F5D78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Regulatory affair professionals learn about the regulatory requirements &amp; approval procedure for drugs (IPR)</w:t>
            </w:r>
          </w:p>
        </w:tc>
        <w:tc>
          <w:tcPr>
            <w:tcW w:w="2477" w:type="dxa"/>
            <w:vAlign w:val="center"/>
          </w:tcPr>
          <w:p w14:paraId="0301B31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02" w:type="dxa"/>
            <w:vAlign w:val="bottom"/>
          </w:tcPr>
          <w:p w14:paraId="7341364D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DAB">
              <w:rPr>
                <w:rFonts w:ascii="Times New Roman" w:hAnsi="Times New Roman" w:cs="Times New Roman"/>
              </w:rPr>
              <w:t>10-03-2024</w:t>
            </w:r>
          </w:p>
        </w:tc>
        <w:tc>
          <w:tcPr>
            <w:tcW w:w="2046" w:type="dxa"/>
            <w:vAlign w:val="center"/>
          </w:tcPr>
          <w:p w14:paraId="27CD0EDA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322FA6CB" w14:textId="77777777" w:rsidTr="004C529C">
        <w:trPr>
          <w:trHeight w:val="950"/>
          <w:jc w:val="center"/>
        </w:trPr>
        <w:tc>
          <w:tcPr>
            <w:tcW w:w="770" w:type="dxa"/>
            <w:vAlign w:val="center"/>
          </w:tcPr>
          <w:p w14:paraId="519FFA7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1" w:type="dxa"/>
            <w:vAlign w:val="bottom"/>
          </w:tcPr>
          <w:p w14:paraId="01584462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Enforcement of intellectual property rights (IPR)</w:t>
            </w:r>
          </w:p>
        </w:tc>
        <w:tc>
          <w:tcPr>
            <w:tcW w:w="2477" w:type="dxa"/>
            <w:vAlign w:val="center"/>
          </w:tcPr>
          <w:p w14:paraId="3244156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2" w:type="dxa"/>
            <w:vAlign w:val="bottom"/>
          </w:tcPr>
          <w:p w14:paraId="78F6EEC8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DAB">
              <w:rPr>
                <w:rFonts w:ascii="Times New Roman" w:hAnsi="Times New Roman" w:cs="Times New Roman"/>
              </w:rPr>
              <w:t>16-02-2024</w:t>
            </w:r>
          </w:p>
        </w:tc>
        <w:tc>
          <w:tcPr>
            <w:tcW w:w="2046" w:type="dxa"/>
            <w:vAlign w:val="center"/>
          </w:tcPr>
          <w:p w14:paraId="3433617C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4D9216C8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691E7DE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1" w:type="dxa"/>
            <w:vAlign w:val="bottom"/>
          </w:tcPr>
          <w:p w14:paraId="51D1F88A" w14:textId="77777777" w:rsidR="00B828F7" w:rsidRPr="00415E96" w:rsidRDefault="00B828F7" w:rsidP="00B828F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The role of analytical chemistry in drug development and testing (Workshop)</w:t>
            </w:r>
          </w:p>
        </w:tc>
        <w:tc>
          <w:tcPr>
            <w:tcW w:w="2477" w:type="dxa"/>
            <w:vAlign w:val="center"/>
          </w:tcPr>
          <w:p w14:paraId="7F38A13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802" w:type="dxa"/>
            <w:vAlign w:val="bottom"/>
          </w:tcPr>
          <w:p w14:paraId="3A8EC2EE" w14:textId="77777777" w:rsidR="00B828F7" w:rsidRDefault="00B828F7" w:rsidP="00B82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30-01-2024</w:t>
            </w:r>
          </w:p>
        </w:tc>
        <w:tc>
          <w:tcPr>
            <w:tcW w:w="2046" w:type="dxa"/>
            <w:vAlign w:val="center"/>
          </w:tcPr>
          <w:p w14:paraId="11D90499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65935679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7880CF2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1" w:type="dxa"/>
            <w:vAlign w:val="bottom"/>
          </w:tcPr>
          <w:p w14:paraId="0097AC24" w14:textId="77777777" w:rsidR="00B828F7" w:rsidRPr="00415E96" w:rsidRDefault="00B828F7" w:rsidP="00B828F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Regulatory frameworks and legal consideration for pharmaceutical startups (Entrepreneurship)</w:t>
            </w:r>
          </w:p>
        </w:tc>
        <w:tc>
          <w:tcPr>
            <w:tcW w:w="2477" w:type="dxa"/>
            <w:vAlign w:val="center"/>
          </w:tcPr>
          <w:p w14:paraId="55B3918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02" w:type="dxa"/>
            <w:vAlign w:val="bottom"/>
          </w:tcPr>
          <w:p w14:paraId="64E3E26E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08-12-2023</w:t>
            </w:r>
          </w:p>
        </w:tc>
        <w:tc>
          <w:tcPr>
            <w:tcW w:w="2046" w:type="dxa"/>
            <w:vAlign w:val="center"/>
          </w:tcPr>
          <w:p w14:paraId="1572863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53A2943B" w14:textId="77777777" w:rsidTr="004C529C">
        <w:trPr>
          <w:trHeight w:val="1353"/>
          <w:jc w:val="center"/>
        </w:trPr>
        <w:tc>
          <w:tcPr>
            <w:tcW w:w="770" w:type="dxa"/>
            <w:vAlign w:val="center"/>
          </w:tcPr>
          <w:p w14:paraId="60695B23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1" w:type="dxa"/>
            <w:vAlign w:val="bottom"/>
          </w:tcPr>
          <w:p w14:paraId="44DA3F3B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Computational chemistry in drug design: simulating success (Workshop)</w:t>
            </w:r>
          </w:p>
        </w:tc>
        <w:tc>
          <w:tcPr>
            <w:tcW w:w="2477" w:type="dxa"/>
            <w:vAlign w:val="center"/>
          </w:tcPr>
          <w:p w14:paraId="03B89B6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02" w:type="dxa"/>
            <w:vAlign w:val="bottom"/>
          </w:tcPr>
          <w:p w14:paraId="5C2E26D0" w14:textId="77777777" w:rsidR="00B828F7" w:rsidRDefault="00B828F7" w:rsidP="00B828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24-11-2023</w:t>
            </w:r>
          </w:p>
        </w:tc>
        <w:tc>
          <w:tcPr>
            <w:tcW w:w="2046" w:type="dxa"/>
            <w:vAlign w:val="center"/>
          </w:tcPr>
          <w:p w14:paraId="7193F172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70D9AD87" w14:textId="77777777" w:rsidTr="00415E96">
        <w:trPr>
          <w:trHeight w:val="1833"/>
          <w:jc w:val="center"/>
        </w:trPr>
        <w:tc>
          <w:tcPr>
            <w:tcW w:w="770" w:type="dxa"/>
            <w:vAlign w:val="center"/>
          </w:tcPr>
          <w:p w14:paraId="1F1D71FA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1" w:type="dxa"/>
            <w:vAlign w:val="bottom"/>
          </w:tcPr>
          <w:p w14:paraId="47AA55CB" w14:textId="77777777" w:rsidR="00B828F7" w:rsidRPr="00415E96" w:rsidRDefault="00B828F7" w:rsidP="00B82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A1BA5" w14:textId="77777777" w:rsidR="00B828F7" w:rsidRPr="00415E96" w:rsidRDefault="00B828F7" w:rsidP="00B828F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Skills to practice pharmaceutical care in any environment (Research methodology)</w:t>
            </w:r>
          </w:p>
          <w:p w14:paraId="54F36D0B" w14:textId="77777777" w:rsidR="00B828F7" w:rsidRPr="00415E96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14:paraId="19AB329D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2" w:type="dxa"/>
            <w:vAlign w:val="bottom"/>
          </w:tcPr>
          <w:p w14:paraId="57C16EED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26-10-2023 to 27-10-23</w:t>
            </w:r>
          </w:p>
        </w:tc>
        <w:tc>
          <w:tcPr>
            <w:tcW w:w="2046" w:type="dxa"/>
            <w:vAlign w:val="center"/>
          </w:tcPr>
          <w:p w14:paraId="32C95549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5B162014" w14:textId="77777777" w:rsidTr="004C529C">
        <w:trPr>
          <w:trHeight w:val="810"/>
          <w:jc w:val="center"/>
        </w:trPr>
        <w:tc>
          <w:tcPr>
            <w:tcW w:w="770" w:type="dxa"/>
            <w:vAlign w:val="center"/>
          </w:tcPr>
          <w:p w14:paraId="69E31657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1" w:type="dxa"/>
            <w:vAlign w:val="bottom"/>
          </w:tcPr>
          <w:p w14:paraId="47DD0303" w14:textId="77777777" w:rsidR="00B828F7" w:rsidRPr="00415E96" w:rsidRDefault="00B828F7" w:rsidP="00B828F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Entrepreneurship opportunities in Indian system of medicine (Entrepreneurship)</w:t>
            </w:r>
          </w:p>
        </w:tc>
        <w:tc>
          <w:tcPr>
            <w:tcW w:w="2477" w:type="dxa"/>
            <w:vAlign w:val="center"/>
          </w:tcPr>
          <w:p w14:paraId="04C96A27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802" w:type="dxa"/>
            <w:vAlign w:val="bottom"/>
          </w:tcPr>
          <w:p w14:paraId="3DFA0866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28-10-2023</w:t>
            </w:r>
          </w:p>
        </w:tc>
        <w:tc>
          <w:tcPr>
            <w:tcW w:w="2046" w:type="dxa"/>
            <w:vAlign w:val="center"/>
          </w:tcPr>
          <w:p w14:paraId="3C210DAB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77130B8C" w14:textId="77777777" w:rsidTr="004C529C">
        <w:trPr>
          <w:trHeight w:val="770"/>
          <w:jc w:val="center"/>
        </w:trPr>
        <w:tc>
          <w:tcPr>
            <w:tcW w:w="770" w:type="dxa"/>
            <w:vAlign w:val="center"/>
          </w:tcPr>
          <w:p w14:paraId="7AD979A0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1" w:type="dxa"/>
            <w:vAlign w:val="bottom"/>
          </w:tcPr>
          <w:p w14:paraId="041BF194" w14:textId="77777777" w:rsidR="00B828F7" w:rsidRPr="00415E96" w:rsidRDefault="00B828F7" w:rsidP="00B828F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Development of intellectual property rights (IPR)</w:t>
            </w:r>
          </w:p>
        </w:tc>
        <w:tc>
          <w:tcPr>
            <w:tcW w:w="2477" w:type="dxa"/>
            <w:vAlign w:val="center"/>
          </w:tcPr>
          <w:p w14:paraId="3F0F7762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2" w:type="dxa"/>
            <w:vAlign w:val="bottom"/>
          </w:tcPr>
          <w:p w14:paraId="4F63C26B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01-09-2023</w:t>
            </w:r>
          </w:p>
        </w:tc>
        <w:tc>
          <w:tcPr>
            <w:tcW w:w="2046" w:type="dxa"/>
            <w:vAlign w:val="center"/>
          </w:tcPr>
          <w:p w14:paraId="41265837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78A64251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30AEE45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1" w:type="dxa"/>
            <w:vAlign w:val="bottom"/>
          </w:tcPr>
          <w:p w14:paraId="407A6F10" w14:textId="77777777" w:rsidR="00B828F7" w:rsidRPr="00415E96" w:rsidRDefault="00B828F7" w:rsidP="00B828F7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Targeting tomorrow: Emerging trends in pharmaceutical industry (Workshop)</w:t>
            </w:r>
          </w:p>
        </w:tc>
        <w:tc>
          <w:tcPr>
            <w:tcW w:w="2477" w:type="dxa"/>
            <w:vAlign w:val="center"/>
          </w:tcPr>
          <w:p w14:paraId="34039F04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2" w:type="dxa"/>
            <w:vAlign w:val="bottom"/>
          </w:tcPr>
          <w:p w14:paraId="09F82D01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05-08-2023</w:t>
            </w:r>
          </w:p>
        </w:tc>
        <w:tc>
          <w:tcPr>
            <w:tcW w:w="2046" w:type="dxa"/>
            <w:vAlign w:val="center"/>
          </w:tcPr>
          <w:p w14:paraId="10E33CF5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4907E2A9" w14:textId="77777777" w:rsidTr="004C529C">
        <w:trPr>
          <w:trHeight w:val="1152"/>
          <w:jc w:val="center"/>
        </w:trPr>
        <w:tc>
          <w:tcPr>
            <w:tcW w:w="770" w:type="dxa"/>
            <w:vAlign w:val="center"/>
          </w:tcPr>
          <w:p w14:paraId="1D4B09ED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01" w:type="dxa"/>
            <w:vAlign w:val="bottom"/>
          </w:tcPr>
          <w:p w14:paraId="62C87D2C" w14:textId="77777777" w:rsidR="00B828F7" w:rsidRPr="00415E96" w:rsidRDefault="00B828F7" w:rsidP="00B828F7">
            <w:pPr>
              <w:spacing w:line="276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Regulatory affair professionals learn about the regulation of medical devices &amp; combination products (IPR)</w:t>
            </w:r>
          </w:p>
        </w:tc>
        <w:tc>
          <w:tcPr>
            <w:tcW w:w="2477" w:type="dxa"/>
            <w:vAlign w:val="center"/>
          </w:tcPr>
          <w:p w14:paraId="4076E40A" w14:textId="77777777" w:rsidR="00B828F7" w:rsidRDefault="00B828F7" w:rsidP="00B828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02" w:type="dxa"/>
            <w:vAlign w:val="bottom"/>
          </w:tcPr>
          <w:p w14:paraId="2C17326B" w14:textId="77777777" w:rsidR="00B828F7" w:rsidRDefault="00B828F7" w:rsidP="00B828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07-07-2023</w:t>
            </w:r>
          </w:p>
        </w:tc>
        <w:tc>
          <w:tcPr>
            <w:tcW w:w="2046" w:type="dxa"/>
            <w:vAlign w:val="center"/>
          </w:tcPr>
          <w:p w14:paraId="10F60419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tr w:rsidR="00B828F7" w14:paraId="7503940C" w14:textId="77777777" w:rsidTr="004C529C">
        <w:trPr>
          <w:trHeight w:val="944"/>
          <w:jc w:val="center"/>
        </w:trPr>
        <w:tc>
          <w:tcPr>
            <w:tcW w:w="770" w:type="dxa"/>
            <w:vAlign w:val="center"/>
          </w:tcPr>
          <w:p w14:paraId="4E8F5458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01" w:type="dxa"/>
            <w:vAlign w:val="bottom"/>
          </w:tcPr>
          <w:p w14:paraId="6BA3A3D6" w14:textId="77777777" w:rsidR="00B828F7" w:rsidRPr="00415E96" w:rsidRDefault="00B828F7" w:rsidP="00B8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96">
              <w:rPr>
                <w:rFonts w:ascii="Times New Roman" w:hAnsi="Times New Roman" w:cs="Times New Roman"/>
                <w:sz w:val="24"/>
                <w:szCs w:val="24"/>
              </w:rPr>
              <w:t>Product development and innovation strategies in the pharmaceutical industry (Entrepreneurship)</w:t>
            </w:r>
          </w:p>
        </w:tc>
        <w:tc>
          <w:tcPr>
            <w:tcW w:w="2477" w:type="dxa"/>
            <w:vAlign w:val="center"/>
          </w:tcPr>
          <w:p w14:paraId="7FD129D8" w14:textId="77777777" w:rsidR="00B828F7" w:rsidRDefault="00B828F7" w:rsidP="00B82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02" w:type="dxa"/>
            <w:vAlign w:val="bottom"/>
          </w:tcPr>
          <w:p w14:paraId="163F5342" w14:textId="77777777" w:rsidR="00B828F7" w:rsidRDefault="00B828F7" w:rsidP="00B82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4D2">
              <w:rPr>
                <w:rFonts w:ascii="Times New Roman" w:hAnsi="Times New Roman" w:cs="Times New Roman"/>
              </w:rPr>
              <w:t>30-06-2023</w:t>
            </w:r>
          </w:p>
        </w:tc>
        <w:tc>
          <w:tcPr>
            <w:tcW w:w="2046" w:type="dxa"/>
            <w:vAlign w:val="center"/>
          </w:tcPr>
          <w:p w14:paraId="1669D456" w14:textId="77777777" w:rsidR="00B828F7" w:rsidRDefault="00B828F7" w:rsidP="00B828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View</w:t>
            </w:r>
          </w:p>
        </w:tc>
      </w:tr>
      <w:bookmarkEnd w:id="1"/>
    </w:tbl>
    <w:p w14:paraId="25538207" w14:textId="77777777" w:rsidR="000605CD" w:rsidRDefault="000605C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0605CD" w:rsidSect="00491C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5CD"/>
    <w:rsid w:val="000605CD"/>
    <w:rsid w:val="00111931"/>
    <w:rsid w:val="001654A0"/>
    <w:rsid w:val="00172CB7"/>
    <w:rsid w:val="00172CCA"/>
    <w:rsid w:val="001A01C0"/>
    <w:rsid w:val="001C1AF8"/>
    <w:rsid w:val="001E75F5"/>
    <w:rsid w:val="0028359C"/>
    <w:rsid w:val="002B2074"/>
    <w:rsid w:val="002D32C1"/>
    <w:rsid w:val="003124A1"/>
    <w:rsid w:val="003B49D0"/>
    <w:rsid w:val="003E10B4"/>
    <w:rsid w:val="00415E96"/>
    <w:rsid w:val="00491CD7"/>
    <w:rsid w:val="004A3E45"/>
    <w:rsid w:val="004C529C"/>
    <w:rsid w:val="005A1E92"/>
    <w:rsid w:val="005E68D1"/>
    <w:rsid w:val="00676D0A"/>
    <w:rsid w:val="00676F0C"/>
    <w:rsid w:val="00811D21"/>
    <w:rsid w:val="00833259"/>
    <w:rsid w:val="00854EB0"/>
    <w:rsid w:val="00876FD0"/>
    <w:rsid w:val="00880145"/>
    <w:rsid w:val="008C1AC5"/>
    <w:rsid w:val="008E05BB"/>
    <w:rsid w:val="0095186E"/>
    <w:rsid w:val="00970190"/>
    <w:rsid w:val="00987903"/>
    <w:rsid w:val="00A177E3"/>
    <w:rsid w:val="00A74457"/>
    <w:rsid w:val="00B828F7"/>
    <w:rsid w:val="00BA2C03"/>
    <w:rsid w:val="00C00DAB"/>
    <w:rsid w:val="00C01DD2"/>
    <w:rsid w:val="00CD3112"/>
    <w:rsid w:val="00CF31A8"/>
    <w:rsid w:val="00D274FC"/>
    <w:rsid w:val="00D32484"/>
    <w:rsid w:val="00D51A15"/>
    <w:rsid w:val="00D66C5C"/>
    <w:rsid w:val="00DA0EAA"/>
    <w:rsid w:val="00DA0FBE"/>
    <w:rsid w:val="00E054D2"/>
    <w:rsid w:val="00E371F6"/>
    <w:rsid w:val="00EE045C"/>
    <w:rsid w:val="00EE2B34"/>
    <w:rsid w:val="00F30C94"/>
    <w:rsid w:val="00FE6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30F8"/>
  <w15:docId w15:val="{91551D94-4C88-42AD-9E33-68903754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D39"/>
    <w:rPr>
      <w:color w:val="000000"/>
    </w:rPr>
  </w:style>
  <w:style w:type="paragraph" w:styleId="Heading1">
    <w:name w:val="heading 1"/>
    <w:basedOn w:val="Normal"/>
    <w:next w:val="Normal"/>
    <w:uiPriority w:val="9"/>
    <w:qFormat/>
    <w:rsid w:val="002835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8359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835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835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8359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8359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8359C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C5D39"/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4C5D39"/>
    <w:rPr>
      <w:color w:val="000000"/>
    </w:rPr>
  </w:style>
  <w:style w:type="paragraph" w:styleId="ListParagraph">
    <w:name w:val="List Paragraph"/>
    <w:basedOn w:val="Normal"/>
    <w:uiPriority w:val="1"/>
    <w:qFormat/>
    <w:rsid w:val="004C5D39"/>
    <w:pPr>
      <w:ind w:left="720"/>
      <w:contextualSpacing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sid w:val="0028359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rsid w:val="0028359C"/>
    <w:tblPr>
      <w:tblStyleRowBandSize w:val="1"/>
      <w:tblStyleColBandSize w:val="1"/>
    </w:tblPr>
  </w:style>
  <w:style w:type="table" w:customStyle="1" w:styleId="1">
    <w:name w:val="1"/>
    <w:basedOn w:val="TableNormal"/>
    <w:rsid w:val="0028359C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uRB7/gBiRhB5Otltw/+qK+0Rg==">CgMxLjAyCGguZ2pkZ3hzOAByITF0SmpjRUx6dHVQOXAweDdhSVVJZHRsekRrY3RadkZRYg==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HPSYSTEM25</cp:lastModifiedBy>
  <cp:revision>42</cp:revision>
  <cp:lastPrinted>2025-01-06T10:46:00Z</cp:lastPrinted>
  <dcterms:created xsi:type="dcterms:W3CDTF">2023-07-06T10:24:00Z</dcterms:created>
  <dcterms:modified xsi:type="dcterms:W3CDTF">2025-01-08T10:57:00Z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91C187C7C2AD4A598EC0B3EB722D2CDE</vt:lpwstr>
  </property>
</Properties>
</file>